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5D" w:rsidRDefault="00FB3D5D" w:rsidP="00FB3D5D">
      <w:pPr>
        <w:pStyle w:val="2"/>
        <w:rPr>
          <w:rFonts w:eastAsiaTheme="minorEastAsia"/>
        </w:rPr>
      </w:pPr>
      <w:r>
        <w:rPr>
          <w:rFonts w:eastAsiaTheme="minorEastAsia"/>
        </w:rPr>
        <w:t>Вариант 11 (1)</w:t>
      </w:r>
    </w:p>
    <w:p w:rsidR="00FB3D5D" w:rsidRPr="00FB3D5D" w:rsidRDefault="00FB3D5D" w:rsidP="00FB3D5D">
      <w:pPr>
        <w:rPr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Доверительная вероятност</m:t>
          </m:r>
          <m:r>
            <w:rPr>
              <w:rFonts w:ascii="Cambria Math" w:hAnsi="Cambria Math"/>
            </w:rPr>
            <m:t>ь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P=0,8</m:t>
          </m:r>
          <m: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r>
            <w:rPr>
              <w:rFonts w:ascii="Cambria Math" w:hAnsi="Cambria Math"/>
              <w:lang w:val="en-US"/>
            </w:rPr>
            <m:t xml:space="preserve">U=1 В;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r>
            <w:rPr>
              <w:rFonts w:ascii="Cambria Math" w:hAnsi="Cambria Math"/>
              <w:lang w:val="en-US"/>
            </w:rPr>
            <m:t>I=0,01</m:t>
          </m:r>
          <m:r>
            <w:rPr>
              <w:rFonts w:ascii="Cambria Math" w:hAnsi="Cambria Math"/>
            </w:rPr>
            <m:t xml:space="preserve"> А</m:t>
          </m:r>
          <m:r>
            <w:rPr>
              <w:rFonts w:ascii="Cambria Math" w:hAnsi="Cambria Math"/>
              <w:lang w:val="en-US"/>
            </w:rPr>
            <m:t xml:space="preserve">;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r>
            <w:rPr>
              <w:rFonts w:ascii="Cambria Math" w:hAnsi="Cambria Math"/>
              <w:lang w:val="en-US"/>
            </w:rPr>
            <m:t>m=0,7</m:t>
          </m:r>
          <m:r>
            <w:rPr>
              <w:rFonts w:ascii="Cambria Math" w:hAnsi="Cambria Math"/>
            </w:rPr>
            <m:t xml:space="preserve"> кг</m:t>
          </m:r>
          <m:r>
            <w:rPr>
              <w:rFonts w:ascii="Cambria Math" w:hAnsi="Cambria Math"/>
              <w:lang w:val="en-US"/>
            </w:rPr>
            <m:t xml:space="preserve">;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eastAsiaTheme="minorEastAsia" w:hAnsi="Cambria Math"/>
              <w:lang w:val="en-US"/>
            </w:rPr>
            <m:t xml:space="preserve">=0,01 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с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=0,07 </m:t>
          </m:r>
          <m:r>
            <w:rPr>
              <w:rFonts w:ascii="Cambria Math" w:eastAsiaTheme="minorEastAsia" w:hAnsi="Cambria Math"/>
            </w:rPr>
            <m:t>кг</m:t>
          </m:r>
          <m:r>
            <w:rPr>
              <w:rFonts w:ascii="Cambria Math" w:eastAsiaTheme="minorEastAsia" w:hAnsi="Cambria Math"/>
              <w:lang w:val="en-US"/>
            </w:rPr>
            <m:t xml:space="preserve">;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=0,001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с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 xml:space="preserve">;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U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=0,7</m:t>
          </m:r>
          <m:r>
            <w:rPr>
              <w:rFonts w:ascii="Cambria Math" w:eastAsiaTheme="minorEastAsia" w:hAnsi="Cambria Math"/>
            </w:rPr>
            <m:t xml:space="preserve"> В</m:t>
          </m:r>
          <m:r>
            <w:rPr>
              <w:rFonts w:ascii="Cambria Math" w:eastAsiaTheme="minorEastAsia" w:hAnsi="Cambria Math"/>
              <w:lang w:val="en-US"/>
            </w:rPr>
            <m:t>;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   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=0,001</m:t>
          </m:r>
          <m:r>
            <w:rPr>
              <w:rFonts w:ascii="Cambria Math" w:eastAsiaTheme="minorEastAsia" w:hAnsi="Cambria Math"/>
            </w:rPr>
            <m:t xml:space="preserve"> А</m:t>
          </m:r>
          <m:r>
            <w:rPr>
              <w:rFonts w:ascii="Cambria Math" w:eastAsiaTheme="minorEastAsia" w:hAnsi="Cambria Math"/>
              <w:lang w:val="en-US"/>
            </w:rPr>
            <m:t xml:space="preserve"> </m:t>
          </m:r>
        </m:oMath>
      </m:oMathPara>
    </w:p>
    <w:p w:rsidR="000112C2" w:rsidRDefault="00FB3D5D" w:rsidP="00FB3D5D">
      <w:pPr>
        <w:pStyle w:val="2"/>
        <w:rPr>
          <w:rFonts w:eastAsiaTheme="minorEastAsia"/>
        </w:rPr>
      </w:pPr>
      <w:r>
        <w:rPr>
          <w:rFonts w:eastAsiaTheme="minorEastAsia"/>
        </w:rPr>
        <w:t>Задача 1</w:t>
      </w:r>
    </w:p>
    <w:p w:rsidR="00FB3D5D" w:rsidRDefault="00FB3D5D" w:rsidP="00FB3D5D">
      <w:pPr>
        <w:rPr>
          <w:lang w:val="en-US"/>
        </w:rPr>
      </w:pPr>
      <w:r>
        <w:t>При многократном измерении длины L получены значения, мм: 50,2; 50; 50,3; 49,7; 50,2; 49,9; 50,1; 50,2; 49,8. Определите доверительные границы истинного значения длины с вероятностью Р=</w:t>
      </w:r>
      <w:r w:rsidR="00DA320A">
        <w:rPr>
          <w:lang w:val="en-US"/>
        </w:rPr>
        <w:t>0,8</w:t>
      </w:r>
    </w:p>
    <w:p w:rsidR="00DA320A" w:rsidRDefault="00DA320A" w:rsidP="00DA320A">
      <w:pPr>
        <w:rPr>
          <w:rFonts w:eastAsiaTheme="minorEastAsia"/>
          <w:b/>
        </w:rPr>
      </w:pPr>
      <w:r w:rsidRPr="00DA320A">
        <w:rPr>
          <w:b/>
        </w:rPr>
        <w:t>Решение:</w:t>
      </w:r>
      <w:r w:rsidRPr="00DA320A">
        <w:rPr>
          <w:rFonts w:eastAsiaTheme="minorEastAsia"/>
          <w:b/>
        </w:rPr>
        <w:t xml:space="preserve"> </w:t>
      </w:r>
    </w:p>
    <w:p w:rsidR="004D0ECC" w:rsidRPr="004D0ECC" w:rsidRDefault="004D0ECC" w:rsidP="004D0ECC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n=9;    f=n-1=8;    P=0,8 ⇒  p=1,396</m:t>
          </m:r>
          <m:r>
            <w:rPr>
              <w:rFonts w:ascii="Cambria Math" w:hAnsi="Cambria Math"/>
              <w:lang w:val="en-US"/>
            </w:rPr>
            <m:t>8</m:t>
          </m:r>
        </m:oMath>
      </m:oMathPara>
    </w:p>
    <w:tbl>
      <w:tblPr>
        <w:tblStyle w:val="a4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709"/>
        <w:gridCol w:w="850"/>
        <w:gridCol w:w="851"/>
      </w:tblGrid>
      <w:tr w:rsidR="00DA320A" w:rsidTr="00284F2E">
        <w:tc>
          <w:tcPr>
            <w:tcW w:w="279" w:type="dxa"/>
          </w:tcPr>
          <w:p w:rsidR="00DA320A" w:rsidRPr="00284F2E" w:rsidRDefault="00DA320A" w:rsidP="00DA320A">
            <w:pPr>
              <w:spacing w:line="240" w:lineRule="auto"/>
              <w:rPr>
                <w:sz w:val="18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n</m:t>
                </m:r>
              </m:oMath>
            </m:oMathPara>
          </w:p>
        </w:tc>
        <w:tc>
          <w:tcPr>
            <w:tcW w:w="709" w:type="dxa"/>
          </w:tcPr>
          <w:p w:rsidR="00DA320A" w:rsidRPr="00284F2E" w:rsidRDefault="00DA320A" w:rsidP="00DA320A">
            <w:pPr>
              <w:spacing w:line="240" w:lineRule="auto"/>
              <w:rPr>
                <w:i/>
                <w:sz w:val="18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18"/>
                    <w:szCs w:val="16"/>
                  </w:rPr>
                  <m:t>d, м</m:t>
                </m:r>
                <m:r>
                  <w:rPr>
                    <w:rFonts w:ascii="Cambria Math" w:hAnsi="Cambria Math"/>
                    <w:sz w:val="18"/>
                    <w:szCs w:val="16"/>
                  </w:rPr>
                  <m:t>м</m:t>
                </m:r>
              </m:oMath>
            </m:oMathPara>
          </w:p>
        </w:tc>
        <w:tc>
          <w:tcPr>
            <w:tcW w:w="850" w:type="dxa"/>
          </w:tcPr>
          <w:p w:rsidR="00DA320A" w:rsidRPr="00284F2E" w:rsidRDefault="00DA320A" w:rsidP="00DA320A">
            <w:pPr>
              <w:spacing w:line="240" w:lineRule="auto"/>
              <w:rPr>
                <w:i/>
                <w:sz w:val="18"/>
                <w:szCs w:val="16"/>
                <w:lang w:val="en-US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6"/>
                        <w:lang w:val="en-US"/>
                      </w:rPr>
                      <m:t>d-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  <w:lang w:val="en-US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</w:tc>
        <w:tc>
          <w:tcPr>
            <w:tcW w:w="851" w:type="dxa"/>
          </w:tcPr>
          <w:p w:rsidR="00DA320A" w:rsidRPr="00284F2E" w:rsidRDefault="00DA320A" w:rsidP="00284F2E">
            <w:pPr>
              <w:spacing w:line="240" w:lineRule="auto"/>
              <w:rPr>
                <w:sz w:val="18"/>
                <w:szCs w:val="16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6"/>
                          </w:rPr>
                          <m:t>d-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6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18"/>
                        <w:szCs w:val="16"/>
                      </w:rPr>
                      <m:t>2</m:t>
                    </m:r>
                  </m:sup>
                </m:sSup>
              </m:oMath>
            </m:oMathPara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50.2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0.16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0.0242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50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-0.04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0.0020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50.3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0.26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0.0653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49.7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-0.34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0.1186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50.2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0.16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0.0242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49.9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-0.14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0.0209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50.1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0.06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0.0031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50.2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0.16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0.0242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49.8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-0.24</w:t>
            </w:r>
          </w:p>
        </w:tc>
        <w:tc>
          <w:tcPr>
            <w:tcW w:w="851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0.0598</w:t>
            </w:r>
          </w:p>
        </w:tc>
      </w:tr>
      <w:tr w:rsidR="00284F2E" w:rsidTr="00284F2E">
        <w:tc>
          <w:tcPr>
            <w:tcW w:w="279" w:type="dxa"/>
          </w:tcPr>
          <w:p w:rsidR="00284F2E" w:rsidRPr="00DA320A" w:rsidRDefault="00284F2E" w:rsidP="00284F2E">
            <w:pPr>
              <w:pStyle w:val="a5"/>
              <w:rPr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∑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09" w:type="dxa"/>
          </w:tcPr>
          <w:p w:rsidR="00284F2E" w:rsidRPr="003664E2" w:rsidRDefault="00284F2E" w:rsidP="00284F2E">
            <w:pPr>
              <w:pStyle w:val="a5"/>
              <w:jc w:val="right"/>
            </w:pPr>
            <w:r w:rsidRPr="003664E2">
              <w:t>450.4</w:t>
            </w:r>
          </w:p>
        </w:tc>
        <w:tc>
          <w:tcPr>
            <w:tcW w:w="850" w:type="dxa"/>
          </w:tcPr>
          <w:p w:rsidR="00284F2E" w:rsidRPr="003664E2" w:rsidRDefault="00284F2E" w:rsidP="00284F2E">
            <w:pPr>
              <w:pStyle w:val="a5"/>
              <w:jc w:val="center"/>
            </w:pPr>
            <w:r w:rsidRPr="003664E2">
              <w:t>-</w:t>
            </w:r>
          </w:p>
        </w:tc>
        <w:tc>
          <w:tcPr>
            <w:tcW w:w="851" w:type="dxa"/>
          </w:tcPr>
          <w:p w:rsidR="00284F2E" w:rsidRDefault="00284F2E" w:rsidP="00284F2E">
            <w:pPr>
              <w:pStyle w:val="a5"/>
              <w:jc w:val="right"/>
            </w:pPr>
            <w:r w:rsidRPr="003664E2">
              <w:t>0.3422</w:t>
            </w:r>
          </w:p>
        </w:tc>
      </w:tr>
    </w:tbl>
    <w:p w:rsidR="00284F2E" w:rsidRDefault="00284F2E" w:rsidP="00284F2E">
      <w:bookmarkStart w:id="0" w:name="_GoBack"/>
      <w:bookmarkEnd w:id="0"/>
    </w:p>
    <w:p w:rsidR="004D0ECC" w:rsidRPr="00CB1AFB" w:rsidRDefault="004D0ECC" w:rsidP="00284F2E">
      <w:pPr>
        <w:rPr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d-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ba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n⋅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0,3422</m:t>
                  </m:r>
                </m:num>
                <m:den>
                  <m:r>
                    <w:rPr>
                      <w:rFonts w:ascii="Cambria Math" w:hAnsi="Cambria Math"/>
                    </w:rPr>
                    <m:t>9⋅8</m:t>
                  </m:r>
                </m:den>
              </m:f>
            </m:e>
          </m:rad>
          <m:r>
            <w:rPr>
              <w:rFonts w:ascii="Cambria Math" w:hAnsi="Cambria Math"/>
              <w:lang w:val="en-US"/>
            </w:rPr>
            <m:t>≈0,00475</m:t>
          </m:r>
          <m:r>
            <w:rPr>
              <w:rFonts w:ascii="Cambria Math" w:hAnsi="Cambria Math"/>
              <w:lang w:val="en-US"/>
            </w:rPr>
            <m:t>3</m:t>
          </m:r>
        </m:oMath>
      </m:oMathPara>
    </w:p>
    <w:p w:rsidR="004D0ECC" w:rsidRPr="00CB1AFB" w:rsidRDefault="004D0ECC" w:rsidP="00284F2E">
      <w:pPr>
        <w:rPr>
          <w:rFonts w:eastAsiaTheme="minorEastAsia"/>
        </w:rPr>
      </w:pPr>
      <w:r>
        <w:t xml:space="preserve">Абсолютная ошибка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d=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</m:sSub>
        <m:r>
          <w:rPr>
            <w:rFonts w:ascii="Cambria Math" w:hAnsi="Cambria Math"/>
          </w:rPr>
          <m:t>⋅t</m:t>
        </m:r>
        <m:r>
          <w:rPr>
            <w:rFonts w:ascii="Cambria Math" w:hAnsi="Cambria Math"/>
          </w:rPr>
          <m:t>=0,004753⋅1,3968≈0,006639</m:t>
        </m:r>
      </m:oMath>
    </w:p>
    <w:p w:rsidR="00CB1AFB" w:rsidRPr="00AC5DBD" w:rsidRDefault="00CB1AFB" w:rsidP="00284F2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bar>
              <m:r>
                <w:rPr>
                  <w:rFonts w:ascii="Cambria Math" w:eastAsiaTheme="minorEastAsia" w:hAnsi="Cambria Math"/>
                </w:rPr>
                <m:t>±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50,0444±0,0066</m:t>
              </m:r>
            </m:e>
          </m:d>
          <m:r>
            <w:rPr>
              <w:rFonts w:ascii="Cambria Math" w:eastAsiaTheme="minorEastAsia" w:hAnsi="Cambria Math"/>
            </w:rPr>
            <m:t xml:space="preserve"> м</m:t>
          </m:r>
          <m:r>
            <w:rPr>
              <w:rFonts w:ascii="Cambria Math" w:eastAsiaTheme="minorEastAsia" w:hAnsi="Cambria Math"/>
            </w:rPr>
            <m:t>м</m:t>
          </m:r>
        </m:oMath>
      </m:oMathPara>
    </w:p>
    <w:sectPr w:rsidR="00CB1AFB" w:rsidRPr="00AC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14"/>
    <w:rsid w:val="000112C2"/>
    <w:rsid w:val="00284F2E"/>
    <w:rsid w:val="00431D1A"/>
    <w:rsid w:val="004D0ECC"/>
    <w:rsid w:val="0073055B"/>
    <w:rsid w:val="007E43F3"/>
    <w:rsid w:val="00931028"/>
    <w:rsid w:val="009A44C5"/>
    <w:rsid w:val="00A57CFF"/>
    <w:rsid w:val="00AC5DBD"/>
    <w:rsid w:val="00BB101A"/>
    <w:rsid w:val="00C070E0"/>
    <w:rsid w:val="00CB1AFB"/>
    <w:rsid w:val="00D50C14"/>
    <w:rsid w:val="00D86E1A"/>
    <w:rsid w:val="00DA320A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376"/>
  <w15:chartTrackingRefBased/>
  <w15:docId w15:val="{36F22D1A-855F-4C92-9FAF-7B3B39D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C2"/>
    <w:pPr>
      <w:spacing w:line="36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070E0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C14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C070E0"/>
    <w:rPr>
      <w:rFonts w:eastAsiaTheme="majorEastAsia" w:cstheme="majorBidi"/>
      <w:b/>
      <w:sz w:val="26"/>
      <w:szCs w:val="26"/>
    </w:rPr>
  </w:style>
  <w:style w:type="table" w:styleId="a4">
    <w:name w:val="Table Grid"/>
    <w:basedOn w:val="a1"/>
    <w:uiPriority w:val="39"/>
    <w:rsid w:val="00DA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4F2E"/>
    <w:pPr>
      <w:spacing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2025-11-26T13:57:00Z</dcterms:created>
  <dcterms:modified xsi:type="dcterms:W3CDTF">2025-11-26T16:44:00Z</dcterms:modified>
</cp:coreProperties>
</file>